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97" w:rsidRPr="005452B6" w:rsidRDefault="00143A97" w:rsidP="00BC3E7B">
      <w:pPr>
        <w:spacing w:before="120"/>
        <w:jc w:val="center"/>
        <w:rPr>
          <w:rFonts w:asciiTheme="minorHAnsi" w:hAnsiTheme="minorHAnsi"/>
          <w:b/>
          <w:snapToGrid w:val="0"/>
          <w:sz w:val="24"/>
        </w:rPr>
      </w:pPr>
      <w:r w:rsidRPr="005452B6">
        <w:rPr>
          <w:rFonts w:asciiTheme="minorHAnsi" w:hAnsiTheme="minorHAnsi"/>
          <w:b/>
          <w:snapToGrid w:val="0"/>
          <w:sz w:val="24"/>
        </w:rPr>
        <w:t>ZÁKLADNÍ ZKOUŠKY VÝKONNOSTI KLISEN POD SEDLEM</w:t>
      </w:r>
    </w:p>
    <w:p w:rsidR="00143A97" w:rsidRDefault="00143A97" w:rsidP="00BC3E7B">
      <w:pPr>
        <w:spacing w:before="120"/>
        <w:jc w:val="center"/>
        <w:rPr>
          <w:rFonts w:ascii="Book Antiqua" w:hAnsi="Book Antiqua"/>
          <w:snapToGrid w:val="0"/>
          <w:sz w:val="24"/>
        </w:rPr>
      </w:pPr>
    </w:p>
    <w:p w:rsidR="00143A97" w:rsidRPr="005452B6" w:rsidRDefault="00143A97" w:rsidP="005452B6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5452B6">
        <w:rPr>
          <w:rFonts w:asciiTheme="minorHAnsi" w:hAnsiTheme="minorHAnsi"/>
          <w:b/>
          <w:snapToGrid w:val="0"/>
          <w:sz w:val="22"/>
          <w:szCs w:val="22"/>
        </w:rPr>
        <w:t>Základní informace: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Základní zkoušky vý</w:t>
      </w:r>
      <w:r w:rsidR="00B743EC">
        <w:rPr>
          <w:rFonts w:asciiTheme="minorHAnsi" w:hAnsiTheme="minorHAnsi"/>
          <w:snapToGrid w:val="0"/>
          <w:sz w:val="22"/>
          <w:szCs w:val="22"/>
        </w:rPr>
        <w:t>konnosti klisen (ZZV) organizuj</w:t>
      </w:r>
      <w:r w:rsidR="00F348E8">
        <w:rPr>
          <w:rFonts w:asciiTheme="minorHAnsi" w:hAnsiTheme="minorHAnsi"/>
          <w:snapToGrid w:val="0"/>
          <w:sz w:val="22"/>
          <w:szCs w:val="22"/>
        </w:rPr>
        <w:t xml:space="preserve">e zástupce UCHS </w:t>
      </w:r>
      <w:r w:rsidRPr="005452B6">
        <w:rPr>
          <w:rFonts w:asciiTheme="minorHAnsi" w:hAnsiTheme="minorHAnsi"/>
          <w:snapToGrid w:val="0"/>
          <w:sz w:val="22"/>
          <w:szCs w:val="22"/>
        </w:rPr>
        <w:t>ve spolupráci s pořadatelem. Hodnotitelskou komisi schvaluje RPK. Hodnotitelská komise je nejméně 3členná. Termíny a místa konání ZZV schvaluje RPK. Klisna může absolvovat 1 ZZV a v případě jejího nedokončení je povolena 1 opravná zkouška výkonnosti.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Pro konání zkoušek výkonnosti je stanoven minimální počet 7 klisen. Počet klisen na posledních 2 zkouškách v ČR nemusí splňovat podmínku minimálního počtu 7 klisen.</w:t>
      </w:r>
    </w:p>
    <w:p w:rsidR="00143A97" w:rsidRPr="005452B6" w:rsidRDefault="00143A97" w:rsidP="005452B6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b/>
          <w:snapToGrid w:val="0"/>
          <w:sz w:val="22"/>
          <w:szCs w:val="22"/>
        </w:rPr>
        <w:t>Výstroj koně a jezdce</w:t>
      </w:r>
      <w:r w:rsidRPr="005452B6">
        <w:rPr>
          <w:rFonts w:asciiTheme="minorHAnsi" w:hAnsiTheme="minorHAnsi"/>
          <w:snapToGrid w:val="0"/>
          <w:sz w:val="22"/>
          <w:szCs w:val="22"/>
        </w:rPr>
        <w:t xml:space="preserve">: 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 xml:space="preserve">Při zkoušce je nařízeno uzdění uzdečkou s jednoduchým </w:t>
      </w:r>
      <w:proofErr w:type="spellStart"/>
      <w:r w:rsidRPr="005452B6">
        <w:rPr>
          <w:rFonts w:asciiTheme="minorHAnsi" w:hAnsiTheme="minorHAnsi"/>
          <w:snapToGrid w:val="0"/>
          <w:sz w:val="22"/>
          <w:szCs w:val="22"/>
        </w:rPr>
        <w:t>stihlem</w:t>
      </w:r>
      <w:proofErr w:type="spellEnd"/>
      <w:r w:rsidRPr="005452B6">
        <w:rPr>
          <w:rFonts w:asciiTheme="minorHAnsi" w:hAnsiTheme="minorHAnsi"/>
          <w:snapToGrid w:val="0"/>
          <w:sz w:val="22"/>
          <w:szCs w:val="22"/>
        </w:rPr>
        <w:t>, nejsou povoleny žádné pomocné otěže, martingal, ostruhy a bičík delší 75 cm. Chrániče nohou jsou povoleny jen pro skokovou zkou</w:t>
      </w:r>
      <w:r w:rsidR="006F55EB">
        <w:rPr>
          <w:rFonts w:asciiTheme="minorHAnsi" w:hAnsiTheme="minorHAnsi"/>
          <w:snapToGrid w:val="0"/>
          <w:sz w:val="22"/>
          <w:szCs w:val="22"/>
        </w:rPr>
        <w:t>šku a na hrudních končetinách.</w:t>
      </w:r>
      <w:r w:rsidRPr="005452B6">
        <w:rPr>
          <w:rFonts w:asciiTheme="minorHAnsi" w:hAnsiTheme="minorHAnsi"/>
          <w:snapToGrid w:val="0"/>
          <w:sz w:val="22"/>
          <w:szCs w:val="22"/>
        </w:rPr>
        <w:t xml:space="preserve"> Jezdec je ustrojen dle pravidel ČJF.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143A97" w:rsidRPr="005452B6" w:rsidRDefault="00143A97" w:rsidP="005452B6">
      <w:pPr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5452B6">
        <w:rPr>
          <w:rFonts w:asciiTheme="minorHAnsi" w:hAnsiTheme="minorHAnsi"/>
          <w:b/>
          <w:snapToGrid w:val="0"/>
          <w:sz w:val="22"/>
          <w:szCs w:val="22"/>
        </w:rPr>
        <w:t>Průběh zkoušky: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Tříleté klisny nejprve absolvují skok ve volnosti ve skokové řadě, kdy výška posledního skoku je stanovena na: 110-120-130 cm a šířka 110 cm – schéma zkušební řady a vzdálenosti ve skokové řadě jsou zobrazeny zde:</w:t>
      </w:r>
    </w:p>
    <w:p w:rsidR="000D3A61" w:rsidRPr="005452B6" w:rsidRDefault="000D3A61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0D3A61" w:rsidRPr="005452B6" w:rsidRDefault="000D3A61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934289" cy="1274885"/>
            <wp:effectExtent l="19050" t="19050" r="9525" b="20955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4" t="14110" r="30243" b="68211"/>
                    <a:stretch/>
                  </pic:blipFill>
                  <pic:spPr bwMode="auto">
                    <a:xfrm>
                      <a:off x="0" y="0"/>
                      <a:ext cx="5962364" cy="12809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998" w:rsidRPr="005452B6" w:rsidRDefault="00445998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Obr. 1 Příloha VIII. 1 ZŘ</w:t>
      </w:r>
    </w:p>
    <w:p w:rsidR="00445998" w:rsidRPr="005452B6" w:rsidRDefault="00445998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 xml:space="preserve">Zkouška skoku ve volnosti se provádí v bezpečně ohraničeném koridoru. </w:t>
      </w:r>
      <w:r w:rsidR="00445998" w:rsidRPr="005452B6">
        <w:rPr>
          <w:rFonts w:asciiTheme="minorHAnsi" w:hAnsiTheme="minorHAnsi"/>
          <w:snapToGrid w:val="0"/>
          <w:sz w:val="22"/>
          <w:szCs w:val="22"/>
        </w:rPr>
        <w:t xml:space="preserve">Doporučuje se prostor zmenšit, aby se klisny nemusely do skokové řady vždy vodit z ruky a po absolvování jedné výšky se mohly plynule pohybovat ve vyhrazeném prostoru za dohledu majitele.  </w:t>
      </w:r>
      <w:r w:rsidRPr="005452B6">
        <w:rPr>
          <w:rFonts w:asciiTheme="minorHAnsi" w:hAnsiTheme="minorHAnsi"/>
          <w:snapToGrid w:val="0"/>
          <w:sz w:val="22"/>
          <w:szCs w:val="22"/>
        </w:rPr>
        <w:t xml:space="preserve">Klisna nemůže absolvovat další výšku, aniž by bezchybně absolvovala výšku nižší. Po třetí chybě (zastavení nebo shození překážky) na stejné výšce klisna zkoušku končí s hodnocením </w:t>
      </w:r>
      <w:r w:rsidR="00445998" w:rsidRPr="005452B6">
        <w:rPr>
          <w:rFonts w:asciiTheme="minorHAnsi" w:hAnsiTheme="minorHAnsi"/>
          <w:snapToGrid w:val="0"/>
          <w:sz w:val="22"/>
          <w:szCs w:val="22"/>
        </w:rPr>
        <w:t>„</w:t>
      </w:r>
      <w:r w:rsidRPr="005452B6">
        <w:rPr>
          <w:rFonts w:asciiTheme="minorHAnsi" w:hAnsiTheme="minorHAnsi"/>
          <w:snapToGrid w:val="0"/>
          <w:sz w:val="22"/>
          <w:szCs w:val="22"/>
        </w:rPr>
        <w:t>neabsolvovala</w:t>
      </w:r>
      <w:r w:rsidR="00445998" w:rsidRPr="005452B6">
        <w:rPr>
          <w:rFonts w:asciiTheme="minorHAnsi" w:hAnsiTheme="minorHAnsi"/>
          <w:snapToGrid w:val="0"/>
          <w:sz w:val="22"/>
          <w:szCs w:val="22"/>
        </w:rPr>
        <w:t>“</w:t>
      </w:r>
      <w:r w:rsidRPr="005452B6">
        <w:rPr>
          <w:rFonts w:asciiTheme="minorHAnsi" w:hAnsiTheme="minorHAnsi"/>
          <w:snapToGrid w:val="0"/>
          <w:sz w:val="22"/>
          <w:szCs w:val="22"/>
        </w:rPr>
        <w:t>. Při této zkoušce se hod</w:t>
      </w:r>
      <w:r w:rsidR="005062D9" w:rsidRPr="005452B6">
        <w:rPr>
          <w:rFonts w:asciiTheme="minorHAnsi" w:hAnsiTheme="minorHAnsi"/>
          <w:snapToGrid w:val="0"/>
          <w:sz w:val="22"/>
          <w:szCs w:val="22"/>
        </w:rPr>
        <w:t>notí skokové vlohy dle kritérií:</w:t>
      </w:r>
    </w:p>
    <w:p w:rsidR="005062D9" w:rsidRPr="005452B6" w:rsidRDefault="005062D9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Skokové vlohy</w:t>
      </w:r>
    </w:p>
    <w:p w:rsidR="005062D9" w:rsidRPr="005452B6" w:rsidRDefault="005062D9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1) skoková schopnost, síla odrazu, odvaha a ochota</w:t>
      </w:r>
    </w:p>
    <w:p w:rsidR="005062D9" w:rsidRPr="005452B6" w:rsidRDefault="005062D9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2) technika a styl skoku</w:t>
      </w:r>
    </w:p>
    <w:p w:rsidR="005062D9" w:rsidRPr="005452B6" w:rsidRDefault="005062D9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975989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Druhou částí ZZV je zkouška mechaniky pohybu a ovladatelnosti pod sedlem, která se provádí na ohraničeném prostoru o doporučených rozměrech 20 x 60 m. Předváděná klisna absolvuje v ohraničeném prostoru úlohu předepsanou pro zkoušku mechaniky pohybu a ovladatelnosti</w:t>
      </w:r>
      <w:r w:rsidR="00975989" w:rsidRPr="005452B6">
        <w:rPr>
          <w:rFonts w:asciiTheme="minorHAnsi" w:hAnsiTheme="minorHAnsi"/>
          <w:snapToGrid w:val="0"/>
          <w:sz w:val="22"/>
          <w:szCs w:val="22"/>
        </w:rPr>
        <w:t>.</w:t>
      </w:r>
      <w:r w:rsidRPr="005452B6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975989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noProof/>
        </w:rPr>
        <w:lastRenderedPageBreak/>
        <w:drawing>
          <wp:inline distT="0" distB="0" distL="0" distR="0">
            <wp:extent cx="4633595" cy="76847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96" w:rsidRPr="005452B6" w:rsidRDefault="004D1D96" w:rsidP="004D1D9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Obr. 2. Příloha VIII. 2</w:t>
      </w:r>
    </w:p>
    <w:p w:rsidR="004D1D96" w:rsidRDefault="004D1D9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4D1D96" w:rsidRDefault="004D1D9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4D1D96" w:rsidRDefault="004D1D9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4D1D96" w:rsidRDefault="004D1D9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4D1D96" w:rsidRPr="005452B6" w:rsidRDefault="004D1D9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lastRenderedPageBreak/>
        <w:t>Následující klisna se připravuje v prostoru za hrazením tak, aby předváděnou klisnu nerušila.</w:t>
      </w:r>
    </w:p>
    <w:p w:rsidR="005452B6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 xml:space="preserve">Při zkoušce mechaniky pohybu a ovladatelnosti se hodnotí tato selekční kritéria dle odstavce 6.2 ŠP: </w:t>
      </w: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c) Krok</w:t>
      </w: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d) Klus</w:t>
      </w: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e) Cval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f)</w:t>
      </w:r>
      <w:r w:rsidR="005452B6" w:rsidRPr="005452B6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5452B6">
        <w:rPr>
          <w:rFonts w:asciiTheme="minorHAnsi" w:hAnsiTheme="minorHAnsi"/>
          <w:snapToGrid w:val="0"/>
          <w:sz w:val="22"/>
          <w:szCs w:val="22"/>
        </w:rPr>
        <w:t>Vnitřní vlastnost</w:t>
      </w:r>
      <w:r w:rsidR="005452B6" w:rsidRPr="005452B6">
        <w:rPr>
          <w:rFonts w:asciiTheme="minorHAnsi" w:hAnsiTheme="minorHAnsi"/>
          <w:snapToGrid w:val="0"/>
          <w:sz w:val="22"/>
          <w:szCs w:val="22"/>
        </w:rPr>
        <w:t>i (Pracovní ochota a charakter)</w:t>
      </w: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5452B6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Třetí částí ZZV je kří</w:t>
      </w:r>
      <w:r w:rsidR="005452B6" w:rsidRPr="005452B6">
        <w:rPr>
          <w:rFonts w:asciiTheme="minorHAnsi" w:hAnsiTheme="minorHAnsi"/>
          <w:snapToGrid w:val="0"/>
          <w:sz w:val="22"/>
          <w:szCs w:val="22"/>
        </w:rPr>
        <w:t xml:space="preserve">žek s </w:t>
      </w:r>
      <w:proofErr w:type="spellStart"/>
      <w:r w:rsidR="005452B6" w:rsidRPr="005452B6">
        <w:rPr>
          <w:rFonts w:asciiTheme="minorHAnsi" w:hAnsiTheme="minorHAnsi"/>
          <w:snapToGrid w:val="0"/>
          <w:sz w:val="22"/>
          <w:szCs w:val="22"/>
        </w:rPr>
        <w:t>odskokovou</w:t>
      </w:r>
      <w:proofErr w:type="spellEnd"/>
      <w:r w:rsidR="005452B6" w:rsidRPr="005452B6">
        <w:rPr>
          <w:rFonts w:asciiTheme="minorHAnsi" w:hAnsiTheme="minorHAnsi"/>
          <w:snapToGrid w:val="0"/>
          <w:sz w:val="22"/>
          <w:szCs w:val="22"/>
        </w:rPr>
        <w:t xml:space="preserve"> bariérou:</w:t>
      </w: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1BC8150" wp14:editId="7895F2FB">
            <wp:extent cx="2857500" cy="20478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428" t="30317" r="57458" b="45329"/>
                    <a:stretch/>
                  </pic:blipFill>
                  <pic:spPr bwMode="auto">
                    <a:xfrm>
                      <a:off x="0" y="0"/>
                      <a:ext cx="2885760" cy="2068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Obr. 3 Příloha VIII. 1 ZŘ</w:t>
      </w: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5452B6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 xml:space="preserve">Klisna ihned po absolvování úlohy celkem dvakrát překoná z klusu křížek s </w:t>
      </w:r>
      <w:proofErr w:type="spellStart"/>
      <w:r w:rsidRPr="005452B6">
        <w:rPr>
          <w:rFonts w:asciiTheme="minorHAnsi" w:hAnsiTheme="minorHAnsi"/>
          <w:snapToGrid w:val="0"/>
          <w:sz w:val="22"/>
          <w:szCs w:val="22"/>
        </w:rPr>
        <w:t>odskokovou</w:t>
      </w:r>
      <w:proofErr w:type="spellEnd"/>
      <w:r w:rsidRPr="005452B6">
        <w:rPr>
          <w:rFonts w:asciiTheme="minorHAnsi" w:hAnsiTheme="minorHAnsi"/>
          <w:snapToGrid w:val="0"/>
          <w:sz w:val="22"/>
          <w:szCs w:val="22"/>
        </w:rPr>
        <w:t xml:space="preserve"> bariérou, aby prokázala ochotu skákat pod sedlem. Při této zkoušce bude hodnoceno kritérium 6.2 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f) Pracovní ochota a charakter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Bodování a způsob výpočtu:</w:t>
      </w:r>
    </w:p>
    <w:p w:rsidR="00143A97" w:rsidRP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Výsledkem ZZV je Konečná známka zkoušek výkonnosti klisen. Vypočítá se podle následující tabulky z jednotlivých hodnocených kritérií a jako průměr známek všech hodnotitelů.</w:t>
      </w:r>
    </w:p>
    <w:p w:rsidR="005452B6" w:rsidRDefault="00143A97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Jednotlivé známky a výsledek zkoušky jsou součástí zkušebního protokolu uvedeném</w:t>
      </w:r>
      <w:r w:rsidR="005452B6" w:rsidRPr="005452B6">
        <w:rPr>
          <w:rFonts w:asciiTheme="minorHAnsi" w:hAnsiTheme="minorHAnsi"/>
          <w:snapToGrid w:val="0"/>
          <w:sz w:val="22"/>
          <w:szCs w:val="22"/>
        </w:rPr>
        <w:t xml:space="preserve"> zde:</w:t>
      </w:r>
    </w:p>
    <w:p w:rsidR="00DB7E1C" w:rsidRPr="005452B6" w:rsidRDefault="00DB7E1C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6110654" cy="3006963"/>
            <wp:effectExtent l="0" t="0" r="444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40" cy="303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B6" w:rsidRPr="005452B6" w:rsidRDefault="005452B6" w:rsidP="005452B6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5452B6">
        <w:rPr>
          <w:rFonts w:asciiTheme="minorHAnsi" w:hAnsiTheme="minorHAnsi"/>
          <w:snapToGrid w:val="0"/>
          <w:sz w:val="22"/>
          <w:szCs w:val="22"/>
        </w:rPr>
        <w:t>Obr. 4 Příloha VIII. 3 ZŘ</w:t>
      </w:r>
    </w:p>
    <w:p w:rsidR="00F85BBB" w:rsidRDefault="00F85BBB" w:rsidP="00DB7E1C">
      <w:pPr>
        <w:rPr>
          <w:rFonts w:ascii="Book Antiqua" w:hAnsi="Book Antiqua"/>
          <w:snapToGrid w:val="0"/>
          <w:sz w:val="24"/>
        </w:rPr>
      </w:pPr>
      <w:bookmarkStart w:id="0" w:name="_GoBack"/>
      <w:bookmarkEnd w:id="0"/>
    </w:p>
    <w:sectPr w:rsidR="00F85BBB">
      <w:headerReference w:type="default" r:id="rId12"/>
      <w:pgSz w:w="11906" w:h="16838"/>
      <w:pgMar w:top="1440" w:right="1416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7D" w:rsidRDefault="0035707D" w:rsidP="00CF6E8F">
      <w:r>
        <w:separator/>
      </w:r>
    </w:p>
  </w:endnote>
  <w:endnote w:type="continuationSeparator" w:id="0">
    <w:p w:rsidR="0035707D" w:rsidRDefault="0035707D" w:rsidP="00C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7D" w:rsidRDefault="0035707D" w:rsidP="00CF6E8F">
      <w:r>
        <w:separator/>
      </w:r>
    </w:p>
  </w:footnote>
  <w:footnote w:type="continuationSeparator" w:id="0">
    <w:p w:rsidR="0035707D" w:rsidRDefault="0035707D" w:rsidP="00CF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8F" w:rsidRPr="00F85BBB" w:rsidRDefault="00CF6E8F" w:rsidP="00143A97">
    <w:pPr>
      <w:pStyle w:val="Nadpis1"/>
      <w:spacing w:before="0"/>
      <w:jc w:val="left"/>
      <w:rPr>
        <w:rFonts w:ascii="Book Antiqua" w:hAnsi="Book Antiqua"/>
        <w:sz w:val="24"/>
      </w:rPr>
    </w:pPr>
  </w:p>
  <w:p w:rsidR="00CF6E8F" w:rsidRDefault="00CF6E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914"/>
    <w:multiLevelType w:val="hybridMultilevel"/>
    <w:tmpl w:val="F5B00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C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39851C0"/>
    <w:multiLevelType w:val="singleLevel"/>
    <w:tmpl w:val="032C2B98"/>
    <w:lvl w:ilvl="0">
      <w:start w:val="150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" w15:restartNumberingAfterBreak="0">
    <w:nsid w:val="77D8595D"/>
    <w:multiLevelType w:val="hybridMultilevel"/>
    <w:tmpl w:val="0FC6962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11"/>
    <w:rsid w:val="0001343F"/>
    <w:rsid w:val="000A6B1B"/>
    <w:rsid w:val="000D3A61"/>
    <w:rsid w:val="00143A97"/>
    <w:rsid w:val="0019770B"/>
    <w:rsid w:val="00197F91"/>
    <w:rsid w:val="002E611C"/>
    <w:rsid w:val="0035707D"/>
    <w:rsid w:val="00371CD1"/>
    <w:rsid w:val="00385D43"/>
    <w:rsid w:val="003B2B4E"/>
    <w:rsid w:val="00445998"/>
    <w:rsid w:val="004C275D"/>
    <w:rsid w:val="004C74F8"/>
    <w:rsid w:val="004D1D96"/>
    <w:rsid w:val="005062D9"/>
    <w:rsid w:val="00524195"/>
    <w:rsid w:val="005452B6"/>
    <w:rsid w:val="006622EB"/>
    <w:rsid w:val="0066682B"/>
    <w:rsid w:val="0069507E"/>
    <w:rsid w:val="006D665F"/>
    <w:rsid w:val="006F55EB"/>
    <w:rsid w:val="007D2211"/>
    <w:rsid w:val="007E1E2E"/>
    <w:rsid w:val="008375B5"/>
    <w:rsid w:val="00841874"/>
    <w:rsid w:val="00857045"/>
    <w:rsid w:val="00920591"/>
    <w:rsid w:val="009406D8"/>
    <w:rsid w:val="00975989"/>
    <w:rsid w:val="009952E0"/>
    <w:rsid w:val="009F4243"/>
    <w:rsid w:val="00A946C6"/>
    <w:rsid w:val="00AE783F"/>
    <w:rsid w:val="00B13C66"/>
    <w:rsid w:val="00B6013B"/>
    <w:rsid w:val="00B743EC"/>
    <w:rsid w:val="00BC3E7B"/>
    <w:rsid w:val="00C055DB"/>
    <w:rsid w:val="00C8020B"/>
    <w:rsid w:val="00C909AD"/>
    <w:rsid w:val="00CF6E8F"/>
    <w:rsid w:val="00D43FB3"/>
    <w:rsid w:val="00D71154"/>
    <w:rsid w:val="00DB7E1C"/>
    <w:rsid w:val="00E4376B"/>
    <w:rsid w:val="00EB2827"/>
    <w:rsid w:val="00EC0133"/>
    <w:rsid w:val="00F348E8"/>
    <w:rsid w:val="00F825FF"/>
    <w:rsid w:val="00F82744"/>
    <w:rsid w:val="00F85BBB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8B1F-3BCA-4B44-B3FB-56851F5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 w:line="480" w:lineRule="auto"/>
      <w:jc w:val="center"/>
    </w:pPr>
    <w:rPr>
      <w:snapToGrid w:val="0"/>
      <w:sz w:val="36"/>
    </w:rPr>
  </w:style>
  <w:style w:type="paragraph" w:styleId="Zkladntextodsazen">
    <w:name w:val="Body Text Indent"/>
    <w:basedOn w:val="Normln"/>
    <w:semiHidden/>
    <w:pPr>
      <w:spacing w:before="120"/>
      <w:ind w:left="2552" w:hanging="2552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spacing w:before="120"/>
      <w:ind w:left="851" w:hanging="851"/>
    </w:pPr>
    <w:rPr>
      <w:snapToGrid w:val="0"/>
      <w:sz w:val="24"/>
    </w:rPr>
  </w:style>
  <w:style w:type="paragraph" w:styleId="Zkladntext2">
    <w:name w:val="Body Text 2"/>
    <w:basedOn w:val="Normln"/>
    <w:semiHidden/>
    <w:pPr>
      <w:spacing w:before="120" w:line="360" w:lineRule="auto"/>
      <w:jc w:val="both"/>
    </w:pPr>
    <w:rPr>
      <w:snapToGrid w:val="0"/>
      <w:sz w:val="24"/>
    </w:rPr>
  </w:style>
  <w:style w:type="paragraph" w:styleId="Zkladntext3">
    <w:name w:val="Body Text 3"/>
    <w:basedOn w:val="Normln"/>
    <w:semiHidden/>
    <w:pPr>
      <w:spacing w:before="120"/>
      <w:jc w:val="both"/>
    </w:pPr>
    <w:rPr>
      <w:b/>
      <w:snapToGrid w:val="0"/>
      <w:sz w:val="24"/>
    </w:rPr>
  </w:style>
  <w:style w:type="paragraph" w:customStyle="1" w:styleId="Default">
    <w:name w:val="Default"/>
    <w:rsid w:val="00C05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BC3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E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E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3E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3E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E8F"/>
  </w:style>
  <w:style w:type="paragraph" w:styleId="Zpat">
    <w:name w:val="footer"/>
    <w:basedOn w:val="Normln"/>
    <w:link w:val="Zpat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E8F"/>
  </w:style>
  <w:style w:type="character" w:customStyle="1" w:styleId="Nadpis1Char">
    <w:name w:val="Nadpis 1 Char"/>
    <w:link w:val="Nadpis1"/>
    <w:rsid w:val="00CF6E8F"/>
    <w:rPr>
      <w:snapToGrid w:val="0"/>
      <w:sz w:val="36"/>
    </w:rPr>
  </w:style>
  <w:style w:type="character" w:styleId="Hypertextovodkaz">
    <w:name w:val="Hyperlink"/>
    <w:uiPriority w:val="99"/>
    <w:unhideWhenUsed/>
    <w:rsid w:val="004D1D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FBFD-2817-48FE-B379-F903E3FF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2460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Rozpis</vt:lpstr>
      <vt:lpstr>Rozpis</vt:lpstr>
      <vt:lpstr>    Datum konání: 11.8.2007 Oblastní přehlídka tříletých klisen  a   Zkoušky výkonno</vt:lpstr>
      <vt:lpstr>    Místo konání: areál ZH Písek</vt:lpstr>
      <vt:lpstr>Jihočeský svaz chovatelů koní</vt:lpstr>
      <vt:lpstr>P Ř I H L Á Š K A</vt:lpstr>
      <vt:lpstr>Jihočeský svaz chovatelů koní</vt:lpstr>
      <vt:lpstr>P Ř I H L Á Š K A</vt:lpstr>
      <vt:lpstr/>
      <vt:lpstr>Jihočeský svaz chovatelů koní</vt:lpstr>
      <vt:lpstr>P Ř I H L Á Š K A</vt:lpstr>
    </vt:vector>
  </TitlesOfParts>
  <Company>Písek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subject>výkonnostní zkoušky klisen</dc:subject>
  <dc:creator>Políček</dc:creator>
  <cp:keywords>rozpis</cp:keywords>
  <dc:description>Filtr T602 id:</dc:description>
  <cp:lastModifiedBy>Hana Stránská</cp:lastModifiedBy>
  <cp:revision>3</cp:revision>
  <cp:lastPrinted>2020-05-05T11:25:00Z</cp:lastPrinted>
  <dcterms:created xsi:type="dcterms:W3CDTF">2021-07-09T05:26:00Z</dcterms:created>
  <dcterms:modified xsi:type="dcterms:W3CDTF">2021-07-13T04:20:00Z</dcterms:modified>
  <cp:category>klisny</cp:category>
</cp:coreProperties>
</file>